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D6" w:rsidRP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1FD6">
        <w:rPr>
          <w:rFonts w:ascii="Times New Roman" w:hAnsi="Times New Roman" w:cs="Times New Roman"/>
          <w:b/>
          <w:sz w:val="20"/>
          <w:szCs w:val="20"/>
        </w:rPr>
        <w:t>PO-33 / Farmaceutske znanosti</w:t>
      </w:r>
    </w:p>
    <w:p w:rsidR="00FE1FD6" w:rsidRP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rPr>
          <w:rFonts w:ascii="Times New Roman" w:hAnsi="Times New Roman" w:cs="Times New Roman"/>
          <w:sz w:val="20"/>
          <w:szCs w:val="20"/>
        </w:rPr>
      </w:pPr>
    </w:p>
    <w:p w:rsidR="00FE1FD6" w:rsidRP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rPr>
          <w:rFonts w:ascii="Times New Roman" w:eastAsia="Times New Roman" w:hAnsi="Times New Roman" w:cs="Times New Roman"/>
          <w:b/>
          <w:sz w:val="20"/>
          <w:szCs w:val="20"/>
          <w:lang w:val="en-US" w:eastAsia="hr-HR"/>
        </w:rPr>
      </w:pPr>
      <w:r w:rsidRPr="00FE1FD6">
        <w:rPr>
          <w:rFonts w:ascii="Times New Roman" w:hAnsi="Times New Roman" w:cs="Times New Roman"/>
          <w:b/>
          <w:sz w:val="20"/>
          <w:szCs w:val="20"/>
          <w:lang w:val="en-GB"/>
        </w:rPr>
        <w:t>NEW GENERATION OF PRIMAQUINE UREA AND BIS-UREA DERIVATIVES – CYTOTOXICITY STUDY</w:t>
      </w:r>
    </w:p>
    <w:p w:rsidR="00FE1FD6" w:rsidRP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rPr>
          <w:rFonts w:ascii="Times New Roman" w:hAnsi="Times New Roman" w:cs="Times New Roman"/>
          <w:b/>
          <w:sz w:val="20"/>
          <w:szCs w:val="20"/>
        </w:rPr>
      </w:pPr>
      <w:r w:rsidRPr="00FE1FD6">
        <w:rPr>
          <w:rFonts w:ascii="Times New Roman" w:eastAsia="Times New Roman" w:hAnsi="Times New Roman" w:cs="Times New Roman"/>
          <w:b/>
          <w:sz w:val="20"/>
          <w:szCs w:val="20"/>
          <w:lang w:val="en-US" w:eastAsia="hr-HR"/>
        </w:rPr>
        <w:t>NOVA GENERACIJA UREA I BIS-UREA DERIVATA PRIMAKINA – ISPITIVANJE CITOTOKSIČNOSTI</w:t>
      </w:r>
    </w:p>
    <w:p w:rsidR="00FE1FD6" w:rsidRP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FE1FD6" w:rsidRP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rPr>
          <w:rFonts w:ascii="Times New Roman" w:hAnsi="Times New Roman" w:cs="Times New Roman"/>
          <w:b/>
          <w:sz w:val="20"/>
          <w:szCs w:val="20"/>
          <w:u w:val="single"/>
          <w:vertAlign w:val="superscript"/>
          <w:lang w:val="en-GB"/>
        </w:rPr>
      </w:pPr>
      <w:r w:rsidRPr="00FE1FD6">
        <w:rPr>
          <w:rFonts w:ascii="Times New Roman" w:hAnsi="Times New Roman" w:cs="Times New Roman"/>
          <w:b/>
          <w:sz w:val="20"/>
          <w:szCs w:val="20"/>
          <w:lang w:val="en-GB"/>
        </w:rPr>
        <w:t>K. Pavić</w:t>
      </w:r>
      <w:r w:rsidRPr="00FE1FD6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1</w:t>
      </w:r>
      <w:r w:rsidRPr="00FE1FD6">
        <w:rPr>
          <w:rFonts w:ascii="Times New Roman" w:hAnsi="Times New Roman" w:cs="Times New Roman"/>
          <w:b/>
          <w:sz w:val="20"/>
          <w:szCs w:val="20"/>
          <w:lang w:val="en-GB"/>
        </w:rPr>
        <w:t>, Z. Rajić</w:t>
      </w:r>
      <w:r w:rsidRPr="00FE1FD6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1</w:t>
      </w:r>
      <w:r w:rsidRPr="00FE1FD6">
        <w:rPr>
          <w:rFonts w:ascii="Times New Roman" w:hAnsi="Times New Roman" w:cs="Times New Roman"/>
          <w:b/>
          <w:sz w:val="20"/>
          <w:szCs w:val="20"/>
          <w:lang w:val="en-GB"/>
        </w:rPr>
        <w:t>, L. Uzelac</w:t>
      </w:r>
      <w:r w:rsidRPr="00FE1FD6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2</w:t>
      </w:r>
      <w:r w:rsidRPr="00FE1FD6">
        <w:rPr>
          <w:rFonts w:ascii="Times New Roman" w:hAnsi="Times New Roman" w:cs="Times New Roman"/>
          <w:b/>
          <w:sz w:val="20"/>
          <w:szCs w:val="20"/>
          <w:lang w:val="en-GB"/>
        </w:rPr>
        <w:t>, M. Kralj</w:t>
      </w:r>
      <w:r w:rsidRPr="00FE1FD6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2</w:t>
      </w:r>
      <w:r w:rsidRPr="00FE1FD6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I. Perković, </w:t>
      </w:r>
      <w:r w:rsidRPr="00FE1FD6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B. Zorc</w:t>
      </w:r>
      <w:r w:rsidRPr="00FE1FD6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1</w:t>
      </w:r>
    </w:p>
    <w:p w:rsidR="00FE1FD6" w:rsidRP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rPr>
          <w:rFonts w:ascii="Times New Roman" w:hAnsi="Times New Roman" w:cs="Times New Roman"/>
          <w:sz w:val="20"/>
          <w:szCs w:val="20"/>
          <w:lang w:val="en-GB"/>
        </w:rPr>
      </w:pPr>
    </w:p>
    <w:p w:rsidR="00FE1FD6" w:rsidRP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rPr>
          <w:rFonts w:ascii="Times New Roman" w:hAnsi="Times New Roman" w:cs="Times New Roman"/>
          <w:sz w:val="20"/>
          <w:szCs w:val="20"/>
          <w:lang w:val="en-GB"/>
        </w:rPr>
      </w:pPr>
      <w:r w:rsidRPr="00FE1FD6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1 </w:t>
      </w:r>
      <w:r w:rsidRPr="00FE1FD6">
        <w:rPr>
          <w:rFonts w:ascii="Times New Roman" w:hAnsi="Times New Roman" w:cs="Times New Roman"/>
          <w:sz w:val="20"/>
          <w:szCs w:val="20"/>
          <w:lang w:val="en-GB"/>
        </w:rPr>
        <w:t>University of Zagreb Faculty of Pharmacy and Biochemistry, Zagreb, Croatia</w:t>
      </w:r>
    </w:p>
    <w:p w:rsidR="00FE1FD6" w:rsidRP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FE1FD6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2 </w:t>
      </w:r>
      <w:proofErr w:type="spellStart"/>
      <w:r w:rsidRPr="00FE1FD6">
        <w:rPr>
          <w:rFonts w:ascii="Times New Roman" w:hAnsi="Times New Roman" w:cs="Times New Roman"/>
          <w:sz w:val="20"/>
          <w:szCs w:val="20"/>
          <w:lang w:val="en-GB"/>
        </w:rPr>
        <w:t>Rudjer</w:t>
      </w:r>
      <w:proofErr w:type="spellEnd"/>
      <w:r w:rsidRPr="00FE1FD6">
        <w:rPr>
          <w:rFonts w:ascii="Times New Roman" w:hAnsi="Times New Roman" w:cs="Times New Roman"/>
          <w:sz w:val="20"/>
          <w:szCs w:val="20"/>
          <w:lang w:val="en-GB"/>
        </w:rPr>
        <w:t xml:space="preserve"> Bošković Institute, Division of Molecular Medicine, Zagreb, Croatia</w:t>
      </w:r>
    </w:p>
    <w:p w:rsidR="008C3B02" w:rsidRDefault="008C3B02" w:rsidP="008C3B02">
      <w:pPr>
        <w:tabs>
          <w:tab w:val="left" w:pos="851"/>
          <w:tab w:val="left" w:pos="7938"/>
        </w:tabs>
        <w:spacing w:after="0"/>
        <w:ind w:left="851" w:right="1134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hr-HR"/>
        </w:rPr>
      </w:pPr>
    </w:p>
    <w:p w:rsidR="008C3B02" w:rsidRPr="00FE1FD6" w:rsidRDefault="008C3B02" w:rsidP="008C3B02">
      <w:pPr>
        <w:tabs>
          <w:tab w:val="left" w:pos="851"/>
          <w:tab w:val="left" w:pos="7938"/>
        </w:tabs>
        <w:spacing w:after="0"/>
        <w:ind w:left="851" w:right="1134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hr-HR"/>
        </w:rPr>
        <w:t>e-mail: kpavic@pharma.hr</w:t>
      </w:r>
    </w:p>
    <w:p w:rsidR="00FE1FD6" w:rsidRP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rPr>
          <w:rFonts w:ascii="Times New Roman" w:hAnsi="Times New Roman" w:cs="Times New Roman"/>
          <w:sz w:val="20"/>
          <w:szCs w:val="20"/>
        </w:rPr>
      </w:pPr>
    </w:p>
    <w:p w:rsid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E1FD6">
        <w:rPr>
          <w:rFonts w:ascii="Times New Roman" w:hAnsi="Times New Roman" w:cs="Times New Roman"/>
          <w:sz w:val="20"/>
          <w:szCs w:val="20"/>
          <w:lang w:val="en-US"/>
        </w:rPr>
        <w:t xml:space="preserve">In our previous work we have prepared several generations of primaquine derivatives bearing one or double urea moieties (1). We have also shown that some of them possess a strong antimalarial, cytostatic or </w:t>
      </w:r>
      <w:proofErr w:type="spellStart"/>
      <w:r w:rsidRPr="00FE1FD6">
        <w:rPr>
          <w:rFonts w:ascii="Times New Roman" w:hAnsi="Times New Roman" w:cs="Times New Roman"/>
          <w:sz w:val="20"/>
          <w:szCs w:val="20"/>
          <w:lang w:val="en-US"/>
        </w:rPr>
        <w:t>antimycobacterial</w:t>
      </w:r>
      <w:proofErr w:type="spellEnd"/>
      <w:r w:rsidRPr="00FE1FD6">
        <w:rPr>
          <w:rFonts w:ascii="Times New Roman" w:hAnsi="Times New Roman" w:cs="Times New Roman"/>
          <w:sz w:val="20"/>
          <w:szCs w:val="20"/>
          <w:lang w:val="en-US"/>
        </w:rPr>
        <w:t xml:space="preserve"> activities. </w:t>
      </w:r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In our novel urea </w:t>
      </w:r>
      <w:r w:rsidRPr="00FE1FD6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>1a-f</w:t>
      </w:r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and bis-urea compounds </w:t>
      </w:r>
      <w:r w:rsidRPr="00FE1FD6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>2a-f</w:t>
      </w:r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>, primaquine core and spacer type were preserved, but amino alcohol part of the molecule contained (</w:t>
      </w:r>
      <w:proofErr w:type="spellStart"/>
      <w:r w:rsidRPr="00FE1FD6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i</w:t>
      </w:r>
      <w:proofErr w:type="spellEnd"/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>) more rigid amino alcohols bearing small cycloalkane moieties, (</w:t>
      </w:r>
      <w:r w:rsidRPr="00FE1FD6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ii</w:t>
      </w:r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>) amino phenol or (</w:t>
      </w:r>
      <w:r w:rsidRPr="00FE1FD6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iii</w:t>
      </w:r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) </w:t>
      </w:r>
      <w:proofErr w:type="spellStart"/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>fluoro</w:t>
      </w:r>
      <w:proofErr w:type="spellEnd"/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>-substituted amino alcohols (</w:t>
      </w:r>
      <w:r w:rsidR="008C3B02">
        <w:rPr>
          <w:rFonts w:ascii="Times New Roman" w:hAnsi="Times New Roman" w:cs="Times New Roman"/>
          <w:color w:val="000000"/>
          <w:sz w:val="20"/>
          <w:szCs w:val="20"/>
          <w:lang w:val="en-GB"/>
        </w:rPr>
        <w:t>2</w:t>
      </w:r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>). The first modification was chosen based on the literature finding that conformation restrictions enhance anti-TB activity</w:t>
      </w:r>
      <w:r w:rsidRPr="00FE1FD6">
        <w:rPr>
          <w:rFonts w:ascii="Times New Roman" w:hAnsi="Times New Roman" w:cs="Times New Roman"/>
          <w:sz w:val="20"/>
          <w:szCs w:val="20"/>
        </w:rPr>
        <w:t>.</w:t>
      </w:r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The second one was made</w:t>
      </w:r>
      <w:r w:rsidRPr="00FE1F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in order to enhance </w:t>
      </w:r>
      <w:proofErr w:type="spellStart"/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>lipophilicity</w:t>
      </w:r>
      <w:proofErr w:type="spellEnd"/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that</w:t>
      </w:r>
      <w:r w:rsidRPr="00FE1FD6">
        <w:rPr>
          <w:rFonts w:ascii="Times New Roman" w:hAnsi="Times New Roman" w:cs="Times New Roman"/>
          <w:sz w:val="20"/>
          <w:szCs w:val="20"/>
          <w:lang w:val="en-GB"/>
        </w:rPr>
        <w:t xml:space="preserve"> could facilitate the passage of the target compounds through the bacterial membrane. Introduction of fluorine atom(s) was suggested</w:t>
      </w:r>
      <w:r w:rsidRPr="00FE1FD6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following a common strategy in drug design and development: incorporation of fluorine in a drug candidate might increase bioavailability and selectivity</w:t>
      </w:r>
      <w:r w:rsidRPr="00FE1FD6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FE1FD6" w:rsidRP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jc w:val="center"/>
        <w:rPr>
          <w:rFonts w:ascii="Times New Roman" w:hAnsi="Times New Roman" w:cs="Times New Roman"/>
          <w:sz w:val="20"/>
          <w:szCs w:val="20"/>
        </w:rPr>
      </w:pPr>
      <w:r w:rsidRPr="00FE1FD6">
        <w:rPr>
          <w:rFonts w:ascii="Times New Roman" w:hAnsi="Times New Roman" w:cs="Times New Roman"/>
          <w:sz w:val="20"/>
          <w:szCs w:val="20"/>
        </w:rPr>
        <w:object w:dxaOrig="8426" w:dyaOrig="3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4pt;height:85.8pt" o:ole="">
            <v:imagedata r:id="rId4" o:title=""/>
          </v:shape>
        </w:object>
      </w:r>
    </w:p>
    <w:p w:rsidR="00FE1FD6" w:rsidRP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</w:pP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hr-HR"/>
        </w:rPr>
        <w:t xml:space="preserve">To get insight into cytotoxicity of compounds </w:t>
      </w:r>
      <w:r w:rsidRPr="00FE1F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hr-HR"/>
        </w:rPr>
        <w:t>1</w:t>
      </w:r>
      <w:r w:rsidRPr="00FE1F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GB" w:eastAsia="hr-HR"/>
        </w:rPr>
        <w:t xml:space="preserve">a-f 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hr-HR"/>
        </w:rPr>
        <w:t xml:space="preserve">and </w:t>
      </w:r>
      <w:r w:rsidRPr="00FE1F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hr-HR"/>
        </w:rPr>
        <w:t>2</w:t>
      </w:r>
      <w:r w:rsidRPr="00FE1F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GB" w:eastAsia="hr-HR"/>
        </w:rPr>
        <w:t>a-f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hr-HR"/>
        </w:rPr>
        <w:t xml:space="preserve">, we have evaluated their cytostatic activity </w:t>
      </w:r>
      <w:r w:rsidRPr="00FE1FD6">
        <w:rPr>
          <w:rFonts w:ascii="Times New Roman" w:eastAsia="Times New Roman" w:hAnsi="Times New Roman" w:cs="Times New Roman"/>
          <w:bCs/>
          <w:i/>
          <w:iCs/>
          <w:kern w:val="36"/>
          <w:sz w:val="20"/>
          <w:szCs w:val="20"/>
          <w:lang w:val="en-GB" w:eastAsia="hr-HR"/>
        </w:rPr>
        <w:t xml:space="preserve">in vitro 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hr-HR"/>
        </w:rPr>
        <w:t>against four human cancer cell lines: HCT 116 (colorectal carcinoma cell line), MCF-7 (breast adenocarcinoma cell line), H 460 (lung carcinoma cell line) and SW620 (colon carcinoma cell line). The results confirmed general low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  <w:t xml:space="preserve"> 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hr-HR"/>
        </w:rPr>
        <w:t>cytotoxicity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  <w:t xml:space="preserve"> of the tested compounds. Most of the compounds showed no activity against HCT 116, H 460 and SW620 cell lines. MCF-7 cells were susceptible to practically all compounds (except </w:t>
      </w:r>
      <w:r w:rsidRPr="00FE1F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hr-HR"/>
        </w:rPr>
        <w:t>2d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  <w:t>), but IC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vertAlign w:val="subscript"/>
          <w:lang w:eastAsia="hr-HR"/>
        </w:rPr>
        <w:t>50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  <w:t xml:space="preserve"> were in high micromolar range, comparable with the results for the parent compound primaquine.</w:t>
      </w:r>
    </w:p>
    <w:p w:rsidR="00FA51AD" w:rsidRDefault="00FA51AD" w:rsidP="00FE1FD6">
      <w:pPr>
        <w:tabs>
          <w:tab w:val="left" w:pos="851"/>
          <w:tab w:val="left" w:pos="7938"/>
        </w:tabs>
        <w:spacing w:after="0"/>
        <w:ind w:left="851" w:right="1134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</w:pPr>
    </w:p>
    <w:p w:rsidR="00FA51AD" w:rsidRDefault="00FA51AD" w:rsidP="00FE1FD6">
      <w:pPr>
        <w:tabs>
          <w:tab w:val="left" w:pos="851"/>
          <w:tab w:val="left" w:pos="7938"/>
        </w:tabs>
        <w:spacing w:after="0"/>
        <w:ind w:left="851" w:right="1134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  <w:t xml:space="preserve">Keywords: primaquine, urea, bis-urea, 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GB" w:eastAsia="hr-HR"/>
        </w:rPr>
        <w:t>cytostatic activity</w:t>
      </w:r>
    </w:p>
    <w:p w:rsidR="00FE1FD6" w:rsidRPr="00FE1FD6" w:rsidRDefault="00FE1FD6" w:rsidP="00FE1FD6">
      <w:pPr>
        <w:tabs>
          <w:tab w:val="left" w:pos="851"/>
          <w:tab w:val="left" w:pos="7938"/>
        </w:tabs>
        <w:spacing w:after="0"/>
        <w:ind w:left="851" w:right="1134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</w:pPr>
    </w:p>
    <w:p w:rsidR="008C3B02" w:rsidRPr="00FE1FD6" w:rsidRDefault="00FE1FD6" w:rsidP="005523D1">
      <w:pPr>
        <w:tabs>
          <w:tab w:val="left" w:pos="851"/>
          <w:tab w:val="left" w:pos="793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</w:pP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  <w:t xml:space="preserve">1. G. Džimbeg </w:t>
      </w:r>
      <w:r w:rsidRPr="00FE1FD6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hr-HR"/>
        </w:rPr>
        <w:t>et al., Eur. J. Med. Chem.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  <w:t xml:space="preserve"> </w:t>
      </w:r>
      <w:r w:rsidRPr="00FE1F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hr-HR"/>
        </w:rPr>
        <w:t>43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  <w:t xml:space="preserve"> (2008) 1180.</w:t>
      </w:r>
      <w:bookmarkStart w:id="0" w:name="_GoBack"/>
      <w:bookmarkEnd w:id="0"/>
    </w:p>
    <w:p w:rsidR="00E22DC4" w:rsidRPr="00FE1FD6" w:rsidRDefault="00FE1FD6" w:rsidP="005523D1">
      <w:pPr>
        <w:tabs>
          <w:tab w:val="left" w:pos="851"/>
          <w:tab w:val="left" w:pos="7938"/>
        </w:tabs>
        <w:spacing w:after="0" w:line="240" w:lineRule="auto"/>
        <w:ind w:left="851"/>
        <w:outlineLvl w:val="0"/>
        <w:rPr>
          <w:rFonts w:ascii="Times New Roman" w:hAnsi="Times New Roman" w:cs="Times New Roman"/>
          <w:sz w:val="20"/>
          <w:szCs w:val="20"/>
        </w:rPr>
      </w:pP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  <w:t xml:space="preserve">2. M. Šimunović </w:t>
      </w:r>
      <w:r w:rsidRPr="00FE1FD6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hr-HR"/>
        </w:rPr>
        <w:t>et. al., Bioorg. Med. Chem.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  <w:t xml:space="preserve"> </w:t>
      </w:r>
      <w:r w:rsidRPr="00FE1F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hr-HR"/>
        </w:rPr>
        <w:t>17</w:t>
      </w:r>
      <w:r w:rsidRPr="00FE1F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hr-HR"/>
        </w:rPr>
        <w:t xml:space="preserve"> (2009) 5605.</w:t>
      </w:r>
      <w:r w:rsidR="008C3B02" w:rsidRPr="008C3B02">
        <w:rPr>
          <w:rFonts w:ascii="Times New Roman" w:hAnsi="Times New Roman"/>
          <w:sz w:val="24"/>
          <w:szCs w:val="24"/>
          <w:lang w:val="en-GB"/>
        </w:rPr>
        <w:t xml:space="preserve"> </w:t>
      </w:r>
    </w:p>
    <w:sectPr w:rsidR="00E22DC4" w:rsidRPr="00FE1F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D6"/>
    <w:rsid w:val="00000ACF"/>
    <w:rsid w:val="0004697E"/>
    <w:rsid w:val="000B744B"/>
    <w:rsid w:val="00102FF9"/>
    <w:rsid w:val="001B187F"/>
    <w:rsid w:val="0025665D"/>
    <w:rsid w:val="002B14F3"/>
    <w:rsid w:val="002D6DA0"/>
    <w:rsid w:val="005523D1"/>
    <w:rsid w:val="006D431F"/>
    <w:rsid w:val="00703C11"/>
    <w:rsid w:val="00734014"/>
    <w:rsid w:val="0074335B"/>
    <w:rsid w:val="00843366"/>
    <w:rsid w:val="00860B9F"/>
    <w:rsid w:val="008C29B4"/>
    <w:rsid w:val="008C3B02"/>
    <w:rsid w:val="008D2362"/>
    <w:rsid w:val="008E03EB"/>
    <w:rsid w:val="00972AB0"/>
    <w:rsid w:val="009A792F"/>
    <w:rsid w:val="00A6441B"/>
    <w:rsid w:val="00A862DC"/>
    <w:rsid w:val="00AC7C64"/>
    <w:rsid w:val="00AF13F8"/>
    <w:rsid w:val="00B00312"/>
    <w:rsid w:val="00CE0C83"/>
    <w:rsid w:val="00D82614"/>
    <w:rsid w:val="00D96D43"/>
    <w:rsid w:val="00DA3A6C"/>
    <w:rsid w:val="00E06722"/>
    <w:rsid w:val="00ED3586"/>
    <w:rsid w:val="00EE0FA9"/>
    <w:rsid w:val="00F40209"/>
    <w:rsid w:val="00F6693A"/>
    <w:rsid w:val="00F95FA0"/>
    <w:rsid w:val="00FA51AD"/>
    <w:rsid w:val="00FB4DBD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7107A67-9566-4D6C-8051-B59365E8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FD6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3B02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8C3B02"/>
    <w:rPr>
      <w:rFonts w:ascii="Times New Roman" w:eastAsia="Times New Roman" w:hAnsi="Times New Roman" w:cs="Times New Roman"/>
      <w:b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4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2. M. Šimunović et. al., Bioorg. Med. Chem. 17 (2009) 5605.</vt:lpstr>
    </vt:vector>
  </TitlesOfParts>
  <Company>HKD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HR-IChO</dc:creator>
  <cp:keywords/>
  <dc:description/>
  <cp:lastModifiedBy>HR-IChO</cp:lastModifiedBy>
  <cp:revision>3</cp:revision>
  <dcterms:created xsi:type="dcterms:W3CDTF">2023-12-27T13:13:00Z</dcterms:created>
  <dcterms:modified xsi:type="dcterms:W3CDTF">2024-01-19T23:19:00Z</dcterms:modified>
</cp:coreProperties>
</file>